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60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372E49B6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05CEA5DC" w14:textId="77777777"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14:paraId="63BD9B1F" w14:textId="77777777" w:rsidR="007D4A8F" w:rsidRPr="00AA3A83" w:rsidRDefault="007D4A8F" w:rsidP="007D4A8F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</w:t>
      </w:r>
      <w:r w:rsidRPr="00AA3A83">
        <w:rPr>
          <w:rFonts w:asciiTheme="minorHAnsi" w:hAnsiTheme="minorHAnsi"/>
          <w:b/>
          <w:sz w:val="14"/>
        </w:rPr>
        <w:t xml:space="preserve">  </w:t>
      </w:r>
      <w:r w:rsidR="002919B0" w:rsidRPr="00AA3A83">
        <w:rPr>
          <w:rFonts w:ascii="Times New Roman" w:hAnsi="Times New Roman" w:cs="Times New Roman"/>
          <w:b/>
          <w:sz w:val="24"/>
          <w:szCs w:val="24"/>
        </w:rPr>
        <w:t xml:space="preserve">BAYBURT BİLİM VE SANAT MERKEZİ </w:t>
      </w:r>
    </w:p>
    <w:p w14:paraId="7BF4E8EC" w14:textId="77777777" w:rsidR="002919B0" w:rsidRPr="002919B0" w:rsidRDefault="002919B0" w:rsidP="007D4A8F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7D4A8F" w14:paraId="6311A625" w14:textId="77777777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14:paraId="7D989ED1" w14:textId="650EE3EA" w:rsidR="007D4A8F" w:rsidRPr="007D4A8F" w:rsidRDefault="007D4A8F" w:rsidP="005043F9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  <w:r w:rsidR="0040525A">
              <w:rPr>
                <w:rFonts w:asciiTheme="minorHAnsi" w:hAnsiTheme="minorHAnsi"/>
                <w:b/>
                <w:sz w:val="24"/>
                <w:szCs w:val="24"/>
              </w:rPr>
              <w:t xml:space="preserve"> (202</w:t>
            </w:r>
            <w:r w:rsidR="005043F9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40525A">
              <w:rPr>
                <w:rFonts w:asciiTheme="minorHAnsi" w:hAnsiTheme="minorHAnsi"/>
                <w:b/>
                <w:sz w:val="24"/>
                <w:szCs w:val="24"/>
              </w:rPr>
              <w:t>-202</w:t>
            </w:r>
            <w:r w:rsidR="005043F9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AA3A83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EA3DE3" w:rsidRPr="007D4A8F" w14:paraId="681919B8" w14:textId="77777777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14:paraId="371FBAC6" w14:textId="72072CDF" w:rsidR="00EA3DE3" w:rsidRPr="00EA3DE3" w:rsidRDefault="0040525A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</w:t>
            </w:r>
            <w:r w:rsidR="005043F9">
              <w:rPr>
                <w:rFonts w:asciiTheme="minorHAnsi" w:hAnsiTheme="minorHAnsi"/>
                <w:sz w:val="20"/>
                <w:szCs w:val="20"/>
              </w:rPr>
              <w:t>3</w:t>
            </w:r>
            <w:proofErr w:type="gramEnd"/>
            <w:r w:rsidR="00D048E8">
              <w:rPr>
                <w:rFonts w:asciiTheme="minorHAnsi" w:hAnsiTheme="minorHAnsi"/>
                <w:sz w:val="20"/>
                <w:szCs w:val="20"/>
              </w:rPr>
              <w:t>-202</w:t>
            </w:r>
            <w:r w:rsidR="005043F9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574D15E5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434DD579" w14:textId="025FCD5D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Tarihi :</w:t>
            </w:r>
            <w:r w:rsidR="00D048E8">
              <w:rPr>
                <w:rFonts w:asciiTheme="minorHAnsi" w:hAnsiTheme="minorHAnsi"/>
                <w:sz w:val="20"/>
                <w:szCs w:val="20"/>
              </w:rPr>
              <w:t>22</w:t>
            </w:r>
            <w:proofErr w:type="gramEnd"/>
            <w:r w:rsidRPr="00EA3DE3">
              <w:rPr>
                <w:rFonts w:asciiTheme="minorHAnsi" w:hAnsiTheme="minorHAnsi"/>
                <w:sz w:val="20"/>
                <w:szCs w:val="20"/>
              </w:rPr>
              <w:t xml:space="preserve"> Ekim 20</w:t>
            </w:r>
            <w:r w:rsidR="0040525A">
              <w:rPr>
                <w:rFonts w:asciiTheme="minorHAnsi" w:hAnsiTheme="minorHAnsi"/>
                <w:sz w:val="20"/>
                <w:szCs w:val="20"/>
              </w:rPr>
              <w:t>24</w:t>
            </w:r>
            <w:r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C035049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462BC561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Numarası  : 1</w:t>
            </w:r>
            <w:proofErr w:type="gramEnd"/>
          </w:p>
          <w:p w14:paraId="183FF14F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5FCA6A0" w14:textId="421D8F1F" w:rsidR="0061052F" w:rsidRPr="00D22331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331">
        <w:rPr>
          <w:rFonts w:ascii="Times New Roman" w:hAnsi="Times New Roman" w:cs="Times New Roman"/>
          <w:sz w:val="24"/>
          <w:szCs w:val="24"/>
        </w:rPr>
        <w:t>Okul</w:t>
      </w:r>
      <w:r w:rsidRPr="00D223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Aile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Birliği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Yönetmeliğinin</w:t>
      </w:r>
      <w:r w:rsidRPr="00D223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12.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ve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13'üncü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maddeleri</w:t>
      </w:r>
      <w:r w:rsidRPr="00D223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ve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ilgili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diğer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ilgili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hükümleri</w:t>
      </w:r>
      <w:r w:rsidRPr="00D223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gereğince</w:t>
      </w:r>
      <w:r w:rsidRPr="00D223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Okul</w:t>
      </w:r>
      <w:r w:rsidRPr="00D223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Aile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Birliği</w:t>
      </w:r>
      <w:r w:rsidRPr="00D223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Yönetim Kurulu</w:t>
      </w:r>
      <w:r w:rsidR="004D104D">
        <w:rPr>
          <w:rFonts w:ascii="Times New Roman" w:hAnsi="Times New Roman" w:cs="Times New Roman"/>
          <w:sz w:val="24"/>
          <w:szCs w:val="24"/>
        </w:rPr>
        <w:t xml:space="preserve"> </w:t>
      </w:r>
      <w:r w:rsidR="00CF336F">
        <w:rPr>
          <w:rFonts w:ascii="Times New Roman" w:hAnsi="Times New Roman" w:cs="Times New Roman"/>
          <w:sz w:val="24"/>
          <w:szCs w:val="24"/>
        </w:rPr>
        <w:t>04.11</w:t>
      </w:r>
      <w:r w:rsidR="0040525A">
        <w:rPr>
          <w:rFonts w:ascii="Times New Roman" w:hAnsi="Times New Roman" w:cs="Times New Roman"/>
          <w:sz w:val="24"/>
          <w:szCs w:val="24"/>
        </w:rPr>
        <w:t>.2024</w:t>
      </w:r>
      <w:r w:rsidRPr="00D22331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>tarihinde</w:t>
      </w:r>
      <w:r w:rsidRPr="00D22331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>saat</w:t>
      </w:r>
      <w:r w:rsidRPr="00D22331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F4B5B" w:rsidRPr="00D22331">
        <w:rPr>
          <w:rFonts w:ascii="Times New Roman" w:hAnsi="Times New Roman" w:cs="Times New Roman"/>
          <w:sz w:val="24"/>
          <w:szCs w:val="24"/>
          <w:highlight w:val="yellow"/>
        </w:rPr>
        <w:t>1:0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>0'd</w:t>
      </w:r>
      <w:r w:rsidR="005F4B5B" w:rsidRPr="00D22331">
        <w:rPr>
          <w:rFonts w:ascii="Times New Roman" w:hAnsi="Times New Roman" w:cs="Times New Roman"/>
          <w:sz w:val="24"/>
          <w:szCs w:val="24"/>
        </w:rPr>
        <w:t>e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yapılan</w:t>
      </w:r>
      <w:r w:rsidRPr="00D223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Okul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Aile</w:t>
      </w:r>
      <w:r w:rsidRPr="00D223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Birliği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Genel</w:t>
      </w:r>
      <w:r w:rsidRPr="00D223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Kurul</w:t>
      </w:r>
      <w:r w:rsidRPr="00D223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toplantısında</w:t>
      </w:r>
      <w:r w:rsidRPr="00D223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mevzuat</w:t>
      </w:r>
      <w:r w:rsidRPr="00D223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>hükümleri</w:t>
      </w:r>
      <w:r w:rsidRPr="00D223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A049B" w:rsidRPr="00D22331">
        <w:rPr>
          <w:rFonts w:ascii="Times New Roman" w:hAnsi="Times New Roman" w:cs="Times New Roman"/>
          <w:sz w:val="24"/>
          <w:szCs w:val="24"/>
        </w:rPr>
        <w:t xml:space="preserve">doğrultusunda belirlenmiş, </w:t>
      </w:r>
      <w:r w:rsidR="00CF336F">
        <w:rPr>
          <w:rFonts w:ascii="Times New Roman" w:hAnsi="Times New Roman" w:cs="Times New Roman"/>
          <w:sz w:val="24"/>
          <w:szCs w:val="24"/>
          <w:highlight w:val="yellow"/>
        </w:rPr>
        <w:t>10.11.2024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 xml:space="preserve"> tarihinde 1 (Bir) numaralı karar ile iş bölümü yaparak faaliyete başlamış </w:t>
      </w:r>
      <w:r w:rsidR="005F4B5B" w:rsidRPr="00D22331">
        <w:rPr>
          <w:rFonts w:ascii="Times New Roman" w:hAnsi="Times New Roman" w:cs="Times New Roman"/>
          <w:sz w:val="24"/>
          <w:szCs w:val="24"/>
          <w:highlight w:val="yellow"/>
        </w:rPr>
        <w:t>ve</w:t>
      </w:r>
      <w:r w:rsidRPr="00D22331">
        <w:rPr>
          <w:rFonts w:ascii="Times New Roman" w:hAnsi="Times New Roman" w:cs="Times New Roman"/>
          <w:sz w:val="24"/>
          <w:szCs w:val="24"/>
          <w:highlight w:val="yellow"/>
        </w:rPr>
        <w:t xml:space="preserve"> 1, </w:t>
      </w:r>
      <w:r w:rsidR="005F4B5B" w:rsidRPr="00D22331">
        <w:rPr>
          <w:rFonts w:ascii="Times New Roman" w:hAnsi="Times New Roman" w:cs="Times New Roman"/>
          <w:sz w:val="24"/>
          <w:szCs w:val="24"/>
          <w:highlight w:val="yellow"/>
        </w:rPr>
        <w:t xml:space="preserve">2, 3, 4, </w:t>
      </w:r>
      <w:r w:rsidRPr="00D22331">
        <w:rPr>
          <w:rFonts w:ascii="Times New Roman" w:hAnsi="Times New Roman" w:cs="Times New Roman"/>
          <w:sz w:val="24"/>
          <w:szCs w:val="24"/>
        </w:rPr>
        <w:t xml:space="preserve">numaralı kararları almış, kararlara konu iş ve işlemleri Okul Aile Birliği Yönetmeliği hükümleri doğrultusunda yürütmüş, anılan kararlara konu olan aşağıdaki cetvelde niteliği ve niceliği verilen harcamaları </w:t>
      </w:r>
      <w:r w:rsidR="004A049B" w:rsidRPr="00D22331">
        <w:rPr>
          <w:rFonts w:ascii="Times New Roman" w:hAnsi="Times New Roman" w:cs="Times New Roman"/>
          <w:sz w:val="24"/>
          <w:szCs w:val="24"/>
        </w:rPr>
        <w:t>usulüne</w:t>
      </w:r>
      <w:r w:rsidRPr="00D22331">
        <w:rPr>
          <w:rFonts w:ascii="Times New Roman" w:hAnsi="Times New Roman" w:cs="Times New Roman"/>
          <w:sz w:val="24"/>
          <w:szCs w:val="24"/>
        </w:rPr>
        <w:t xml:space="preserve"> uygun yaparak kayıtlara geçirmiş olup, söz konusu harcamalara ilişkin belgeleri dosyasında mevcuttur. </w:t>
      </w:r>
      <w:proofErr w:type="gramEnd"/>
      <w:r w:rsidRPr="00D22331">
        <w:rPr>
          <w:rFonts w:ascii="Times New Roman" w:hAnsi="Times New Roman" w:cs="Times New Roman"/>
          <w:sz w:val="24"/>
          <w:szCs w:val="24"/>
        </w:rPr>
        <w:t>Okul Aile Birliği Yönetim Kuru</w:t>
      </w:r>
      <w:r w:rsidR="005F4B5B" w:rsidRPr="00D22331">
        <w:rPr>
          <w:rFonts w:ascii="Times New Roman" w:hAnsi="Times New Roman" w:cs="Times New Roman"/>
          <w:sz w:val="24"/>
          <w:szCs w:val="24"/>
        </w:rPr>
        <w:t>lu işletme gelir-gider defteri</w:t>
      </w:r>
      <w:r w:rsidR="00D22331" w:rsidRPr="00D22331">
        <w:rPr>
          <w:rFonts w:ascii="Times New Roman" w:hAnsi="Times New Roman" w:cs="Times New Roman"/>
          <w:sz w:val="24"/>
          <w:szCs w:val="24"/>
        </w:rPr>
        <w:t xml:space="preserve"> </w:t>
      </w:r>
      <w:r w:rsidRPr="00D22331">
        <w:rPr>
          <w:rFonts w:ascii="Times New Roman" w:hAnsi="Times New Roman" w:cs="Times New Roman"/>
          <w:sz w:val="24"/>
          <w:szCs w:val="24"/>
        </w:rPr>
        <w:t xml:space="preserve">ve ilgili diğer defterler tutulmakla beraber; gelirler ile giderlere ilişkin tüm iş ve işlemler </w:t>
      </w:r>
      <w:r w:rsidR="004A049B" w:rsidRPr="00D22331">
        <w:rPr>
          <w:rFonts w:ascii="Times New Roman" w:hAnsi="Times New Roman" w:cs="Times New Roman"/>
          <w:sz w:val="24"/>
          <w:szCs w:val="24"/>
        </w:rPr>
        <w:t>usulüne</w:t>
      </w:r>
      <w:r w:rsidRPr="00D22331">
        <w:rPr>
          <w:rFonts w:ascii="Times New Roman" w:hAnsi="Times New Roman" w:cs="Times New Roman"/>
          <w:sz w:val="24"/>
          <w:szCs w:val="24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162"/>
        <w:gridCol w:w="2141"/>
        <w:gridCol w:w="4106"/>
      </w:tblGrid>
      <w:tr w:rsidR="00955D6A" w:rsidRPr="009F3387" w14:paraId="1EFF7E60" w14:textId="7777777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891087C" w14:textId="77777777" w:rsidR="00955D6A" w:rsidRPr="009F3387" w:rsidRDefault="00955D6A" w:rsidP="00BE2C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9F3387" w14:paraId="65BAEE8E" w14:textId="7777777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4A9FEFF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74C6587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783D60E3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EC2131" w:rsidRPr="009F3387" w14:paraId="38125888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4F5EB4CC" w14:textId="6711E143" w:rsidR="00955D6A" w:rsidRPr="009F3387" w:rsidRDefault="0040525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2023-24</w:t>
            </w:r>
            <w:r w:rsidR="005F4B5B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Dönemi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Öncesi (Devreden)</w:t>
            </w:r>
          </w:p>
        </w:tc>
        <w:tc>
          <w:tcPr>
            <w:tcW w:w="1138" w:type="pct"/>
            <w:vAlign w:val="center"/>
            <w:hideMark/>
          </w:tcPr>
          <w:p w14:paraId="7F4ACF92" w14:textId="4A230520" w:rsidR="00955D6A" w:rsidRPr="00D22331" w:rsidRDefault="004F3CF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  <w:lang w:bidi="ar-SA"/>
              </w:rPr>
              <w:t>1.151,27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1945"/>
            </w:tblGrid>
            <w:tr w:rsidR="0043022F" w:rsidRPr="0043022F" w14:paraId="7DE77246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0A0F98" w14:textId="77777777" w:rsidR="0043022F" w:rsidRPr="0043022F" w:rsidRDefault="009F3387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 w:rsidRPr="0043022F">
                    <w:rPr>
                      <w:rFonts w:asciiTheme="minorHAnsi" w:hAnsiTheme="minorHAnsi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5284A" w14:textId="77777777" w:rsidR="0043022F" w:rsidRPr="0043022F" w:rsidRDefault="0043022F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317EE01" w14:textId="77777777"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77AE6E1F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32DB2DC7" w14:textId="46231277" w:rsidR="00955D6A" w:rsidRPr="009F3387" w:rsidRDefault="00955D6A" w:rsidP="00FF74D2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</w:t>
            </w:r>
            <w:r w:rsidR="005F4B5B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</w:t>
            </w:r>
            <w:r w:rsidR="0040525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3</w:t>
            </w:r>
            <w:r w:rsidR="005F4B5B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-202</w:t>
            </w:r>
            <w:r w:rsidR="0040525A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4</w:t>
            </w:r>
            <w:r w:rsidR="005F4B5B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Dönemi</w:t>
            </w:r>
          </w:p>
        </w:tc>
        <w:tc>
          <w:tcPr>
            <w:tcW w:w="1138" w:type="pct"/>
            <w:vAlign w:val="center"/>
            <w:hideMark/>
          </w:tcPr>
          <w:p w14:paraId="1D77F300" w14:textId="4BAA87C1" w:rsidR="00955D6A" w:rsidRPr="0043022F" w:rsidRDefault="0040525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24.600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3660"/>
            </w:tblGrid>
            <w:tr w:rsidR="0043022F" w:rsidRPr="0043022F" w14:paraId="626A1431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B21A53" w14:textId="77777777" w:rsidR="0043022F" w:rsidRPr="0043022F" w:rsidRDefault="009F3387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 w:rsidRPr="0043022F">
                    <w:rPr>
                      <w:rFonts w:asciiTheme="minorHAnsi" w:hAnsiTheme="minorHAnsi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89507" w14:textId="28F305FE" w:rsidR="0043022F" w:rsidRPr="0043022F" w:rsidRDefault="0040525A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>25.230</w:t>
                  </w:r>
                </w:p>
              </w:tc>
            </w:tr>
          </w:tbl>
          <w:p w14:paraId="1A959629" w14:textId="77777777"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1FD4DA9A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79C3832F" w14:textId="77777777"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14:paraId="5C8C9FE1" w14:textId="4E0480BC" w:rsidR="00955D6A" w:rsidRPr="0043022F" w:rsidRDefault="004F3CFC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25.751,27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3699"/>
            </w:tblGrid>
            <w:tr w:rsidR="00955D6A" w:rsidRPr="0043022F" w14:paraId="1CF54264" w14:textId="77777777" w:rsidTr="0095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E53AE" w14:textId="77777777" w:rsidR="00955D6A" w:rsidRPr="0043022F" w:rsidRDefault="00955D6A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D04FE" w14:textId="487CC091" w:rsidR="00955D6A" w:rsidRPr="0043022F" w:rsidRDefault="004F3CFC" w:rsidP="007343DC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</w:rPr>
                    <w:t>25.230</w:t>
                  </w:r>
                  <w:r w:rsidR="0043022F" w:rsidRPr="0043022F">
                    <w:rPr>
                      <w:rFonts w:asciiTheme="minorHAnsi" w:hAnsiTheme="minorHAnsi" w:cs="Times New Roman"/>
                      <w:b/>
                      <w:bCs/>
                    </w:rPr>
                    <w:t xml:space="preserve"> TL</w:t>
                  </w:r>
                </w:p>
              </w:tc>
            </w:tr>
          </w:tbl>
          <w:p w14:paraId="0800C010" w14:textId="77777777"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48CCC5A2" w14:textId="77777777" w:rsidTr="00EA3DE3">
        <w:trPr>
          <w:trHeight w:val="420"/>
        </w:trPr>
        <w:tc>
          <w:tcPr>
            <w:tcW w:w="1680" w:type="pct"/>
            <w:vAlign w:val="center"/>
            <w:hideMark/>
          </w:tcPr>
          <w:p w14:paraId="43D30B4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12650711" w14:textId="43C39AE2" w:rsidR="00955D6A" w:rsidRPr="009F3387" w:rsidRDefault="004F3CFC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>521</w:t>
            </w:r>
            <w:r w:rsidR="005F4B5B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>,27</w:t>
            </w:r>
            <w:r w:rsidR="00955D6A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TL</w:t>
            </w:r>
            <w:r w:rsidR="0009138E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</w:tbl>
    <w:p w14:paraId="72C6A300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49683E52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3F2BAB6D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095C540F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  <w:bookmarkStart w:id="0" w:name="_GoBack"/>
      <w:bookmarkEnd w:id="0"/>
    </w:p>
    <w:p w14:paraId="361186A9" w14:textId="77777777"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5967D89C" w14:textId="77777777" w:rsidR="0061052F" w:rsidRPr="00B03D4D" w:rsidRDefault="0098705B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03D4D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  </w:t>
      </w:r>
    </w:p>
    <w:p w14:paraId="7FEDC2FE" w14:textId="77777777" w:rsidR="0061052F" w:rsidRPr="00B03D4D" w:rsidRDefault="0061052F" w:rsidP="005F4B5B">
      <w:pPr>
        <w:pStyle w:val="GvdeMetni"/>
        <w:spacing w:before="98" w:line="254" w:lineRule="auto"/>
        <w:ind w:right="1205"/>
        <w:jc w:val="both"/>
        <w:rPr>
          <w:rFonts w:asciiTheme="minorHAnsi" w:hAnsiTheme="minorHAnsi"/>
          <w:i/>
        </w:rPr>
      </w:pPr>
      <w:r w:rsidRPr="00B03D4D">
        <w:rPr>
          <w:rFonts w:asciiTheme="minorHAnsi" w:hAnsiTheme="minorHAnsi"/>
          <w:i/>
        </w:rPr>
        <w:br w:type="textWrapping" w:clear="all"/>
      </w:r>
    </w:p>
    <w:p w14:paraId="5F5E80CF" w14:textId="2EE07912" w:rsidR="005F4B5B" w:rsidRDefault="001F20B8" w:rsidP="005F4B5B">
      <w:pPr>
        <w:pStyle w:val="GvdeMetni"/>
        <w:tabs>
          <w:tab w:val="left" w:pos="6474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Hidayet YILMAZTÜRK                            Hüseyin ŞENTÜRK                      Atiye ÇAKMAK</w:t>
      </w:r>
    </w:p>
    <w:p w14:paraId="47806CD3" w14:textId="66D6B66E" w:rsidR="005F4B5B" w:rsidRDefault="005F4B5B" w:rsidP="005F4B5B">
      <w:pPr>
        <w:pStyle w:val="GvdeMetni"/>
        <w:tabs>
          <w:tab w:val="left" w:pos="4392"/>
          <w:tab w:val="left" w:pos="7080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Başkan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Yardımcısı</w:t>
      </w:r>
      <w:r>
        <w:rPr>
          <w:rFonts w:ascii="Times New Roman" w:hAnsi="Times New Roman" w:cs="Times New Roman"/>
          <w:sz w:val="24"/>
          <w:szCs w:val="24"/>
        </w:rPr>
        <w:tab/>
      </w:r>
      <w:r w:rsidR="001F20B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Muhasip</w:t>
      </w:r>
    </w:p>
    <w:p w14:paraId="24DBBC83" w14:textId="77777777" w:rsidR="005F4B5B" w:rsidRDefault="005F4B5B" w:rsidP="005F4B5B">
      <w:pPr>
        <w:pStyle w:val="GvdeMetni"/>
        <w:tabs>
          <w:tab w:val="left" w:pos="4392"/>
          <w:tab w:val="left" w:pos="7080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</w:p>
    <w:p w14:paraId="1CDBA99C" w14:textId="77777777" w:rsidR="005F4B5B" w:rsidRDefault="005F4B5B" w:rsidP="005F4B5B">
      <w:pPr>
        <w:pStyle w:val="GvdeMetni"/>
        <w:tabs>
          <w:tab w:val="left" w:pos="4392"/>
          <w:tab w:val="left" w:pos="7080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</w:p>
    <w:p w14:paraId="32068C1B" w14:textId="77777777" w:rsidR="005F4B5B" w:rsidRDefault="005F4B5B" w:rsidP="005F4B5B">
      <w:pPr>
        <w:pStyle w:val="GvdeMetni"/>
        <w:tabs>
          <w:tab w:val="left" w:pos="4392"/>
          <w:tab w:val="left" w:pos="7080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</w:p>
    <w:p w14:paraId="4039B7C2" w14:textId="77777777" w:rsidR="005F4B5B" w:rsidRDefault="005F4B5B" w:rsidP="005F4B5B">
      <w:pPr>
        <w:pStyle w:val="GvdeMetni"/>
        <w:tabs>
          <w:tab w:val="left" w:pos="4392"/>
          <w:tab w:val="left" w:pos="7080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</w:p>
    <w:p w14:paraId="014B600D" w14:textId="07BFAF6C" w:rsidR="005F4B5B" w:rsidRDefault="005F4B5B" w:rsidP="00782F9B">
      <w:pPr>
        <w:pStyle w:val="GvdeMetni"/>
        <w:tabs>
          <w:tab w:val="left" w:pos="3876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043F9">
        <w:rPr>
          <w:rFonts w:ascii="Times New Roman" w:hAnsi="Times New Roman" w:cs="Times New Roman"/>
          <w:sz w:val="24"/>
          <w:szCs w:val="24"/>
        </w:rPr>
        <w:t>Selvinaz</w:t>
      </w:r>
      <w:proofErr w:type="spellEnd"/>
      <w:r w:rsidR="005043F9">
        <w:rPr>
          <w:rFonts w:ascii="Times New Roman" w:hAnsi="Times New Roman" w:cs="Times New Roman"/>
          <w:sz w:val="24"/>
          <w:szCs w:val="24"/>
        </w:rPr>
        <w:t xml:space="preserve"> GÜNAY</w:t>
      </w:r>
      <w:r w:rsidR="005043F9">
        <w:rPr>
          <w:rFonts w:ascii="Times New Roman" w:hAnsi="Times New Roman" w:cs="Times New Roman"/>
          <w:sz w:val="24"/>
          <w:szCs w:val="24"/>
        </w:rPr>
        <w:tab/>
        <w:t>Mustafa ÇALIŞKAN</w:t>
      </w:r>
      <w:r w:rsidR="00782F9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3B08CA4" w14:textId="77777777" w:rsidR="005F4B5B" w:rsidRDefault="00782F9B" w:rsidP="00782F9B">
      <w:pPr>
        <w:pStyle w:val="GvdeMetni"/>
        <w:tabs>
          <w:tab w:val="left" w:pos="3876"/>
        </w:tabs>
        <w:spacing w:before="1"/>
        <w:ind w:right="108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B79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Üye</w:t>
      </w:r>
    </w:p>
    <w:p w14:paraId="67105914" w14:textId="77777777" w:rsidR="009F3387" w:rsidRPr="005F4B5B" w:rsidRDefault="005F4B5B" w:rsidP="005F4B5B">
      <w:pPr>
        <w:pStyle w:val="GvdeMetni"/>
        <w:tabs>
          <w:tab w:val="left" w:pos="6474"/>
        </w:tabs>
        <w:spacing w:before="1"/>
        <w:ind w:right="1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9F3387" w:rsidRPr="005F4B5B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50"/>
    <w:rsid w:val="00085742"/>
    <w:rsid w:val="0009138E"/>
    <w:rsid w:val="000B7978"/>
    <w:rsid w:val="001F20B8"/>
    <w:rsid w:val="002919B0"/>
    <w:rsid w:val="00300CA5"/>
    <w:rsid w:val="0040525A"/>
    <w:rsid w:val="00414E9C"/>
    <w:rsid w:val="0043022F"/>
    <w:rsid w:val="004A049B"/>
    <w:rsid w:val="004D104D"/>
    <w:rsid w:val="004F3CFC"/>
    <w:rsid w:val="005043F9"/>
    <w:rsid w:val="00514C34"/>
    <w:rsid w:val="00523FF0"/>
    <w:rsid w:val="005E132D"/>
    <w:rsid w:val="005F4B5B"/>
    <w:rsid w:val="005F7553"/>
    <w:rsid w:val="0061052F"/>
    <w:rsid w:val="00654160"/>
    <w:rsid w:val="006A7B43"/>
    <w:rsid w:val="007343DC"/>
    <w:rsid w:val="00782F9B"/>
    <w:rsid w:val="007835FA"/>
    <w:rsid w:val="007B22B5"/>
    <w:rsid w:val="007D4A8F"/>
    <w:rsid w:val="0083012F"/>
    <w:rsid w:val="00864F30"/>
    <w:rsid w:val="00955D6A"/>
    <w:rsid w:val="0098705B"/>
    <w:rsid w:val="009F3387"/>
    <w:rsid w:val="00AA3A83"/>
    <w:rsid w:val="00B03D4D"/>
    <w:rsid w:val="00B60E6B"/>
    <w:rsid w:val="00BD3866"/>
    <w:rsid w:val="00BE2C56"/>
    <w:rsid w:val="00C27467"/>
    <w:rsid w:val="00C42C0C"/>
    <w:rsid w:val="00CA667E"/>
    <w:rsid w:val="00CB2E2C"/>
    <w:rsid w:val="00CF336F"/>
    <w:rsid w:val="00D048E8"/>
    <w:rsid w:val="00D22331"/>
    <w:rsid w:val="00D80B6F"/>
    <w:rsid w:val="00E83533"/>
    <w:rsid w:val="00E9288B"/>
    <w:rsid w:val="00EA3DE3"/>
    <w:rsid w:val="00EC2131"/>
    <w:rsid w:val="00EE02CA"/>
    <w:rsid w:val="00F44E32"/>
    <w:rsid w:val="00F86B50"/>
    <w:rsid w:val="00FF0D4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7040"/>
  <w15:docId w15:val="{39E1EDF6-1C76-4A84-8055-E24DB0E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3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36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İsrafil TULUĞ</cp:lastModifiedBy>
  <cp:revision>2</cp:revision>
  <cp:lastPrinted>2024-10-24T14:19:00Z</cp:lastPrinted>
  <dcterms:created xsi:type="dcterms:W3CDTF">2024-10-24T14:23:00Z</dcterms:created>
  <dcterms:modified xsi:type="dcterms:W3CDTF">2024-10-24T14:23:00Z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